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3" w:rsidRDefault="00F509B3" w:rsidP="00EB7BB1">
      <w:pPr>
        <w:tabs>
          <w:tab w:val="left" w:pos="1632"/>
        </w:tabs>
      </w:pPr>
    </w:p>
    <w:p w:rsidR="008957AA" w:rsidRDefault="008957AA" w:rsidP="00EB7BB1">
      <w:pPr>
        <w:tabs>
          <w:tab w:val="left" w:pos="1632"/>
        </w:tabs>
      </w:pPr>
    </w:p>
    <w:p w:rsidR="008957AA" w:rsidRDefault="008957AA" w:rsidP="00EB7BB1">
      <w:pPr>
        <w:tabs>
          <w:tab w:val="left" w:pos="1632"/>
        </w:tabs>
      </w:pPr>
    </w:p>
    <w:p w:rsidR="008957AA" w:rsidRDefault="008957AA" w:rsidP="00EB7BB1">
      <w:pPr>
        <w:tabs>
          <w:tab w:val="left" w:pos="1632"/>
        </w:tabs>
        <w:rPr>
          <w:rFonts w:ascii="Times New Roman" w:hAnsi="Times New Roman" w:cs="Times New Roman"/>
          <w:b/>
        </w:rPr>
      </w:pPr>
      <w:r w:rsidRPr="008957AA">
        <w:rPr>
          <w:rFonts w:ascii="Times New Roman" w:hAnsi="Times New Roman" w:cs="Times New Roman"/>
          <w:b/>
        </w:rPr>
        <w:t>Infanzia – Disponibilità residue dopo i trasferimenti</w:t>
      </w:r>
    </w:p>
    <w:p w:rsidR="008957AA" w:rsidRDefault="008957AA" w:rsidP="00EB7BB1">
      <w:pPr>
        <w:tabs>
          <w:tab w:val="left" w:pos="1632"/>
        </w:tabs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957AA" w:rsidTr="008957AA">
        <w:tc>
          <w:tcPr>
            <w:tcW w:w="2660" w:type="dxa"/>
          </w:tcPr>
          <w:p w:rsidR="008957AA" w:rsidRDefault="008957AA" w:rsidP="00EB7BB1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957AA" w:rsidRDefault="008957AA" w:rsidP="00EB7BB1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Disponibilità residue dopo i trasferimenti</w:t>
            </w:r>
          </w:p>
          <w:p w:rsidR="008957AA" w:rsidRPr="008957AA" w:rsidRDefault="008957AA" w:rsidP="00EB7BB1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</w:p>
        </w:tc>
      </w:tr>
      <w:tr w:rsidR="008957AA" w:rsidTr="008957AA">
        <w:tc>
          <w:tcPr>
            <w:tcW w:w="2660" w:type="dxa"/>
          </w:tcPr>
          <w:p w:rsidR="008957AA" w:rsidRDefault="008957AA" w:rsidP="00EB7BB1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Sostegno</w:t>
            </w:r>
          </w:p>
        </w:tc>
        <w:tc>
          <w:tcPr>
            <w:tcW w:w="2268" w:type="dxa"/>
          </w:tcPr>
          <w:p w:rsidR="008957AA" w:rsidRDefault="008957AA" w:rsidP="00EB7BB1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E511F" w:rsidRDefault="00DE511F" w:rsidP="00EB7BB1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957AA" w:rsidTr="008957AA">
        <w:tc>
          <w:tcPr>
            <w:tcW w:w="2660" w:type="dxa"/>
          </w:tcPr>
          <w:p w:rsidR="008957AA" w:rsidRDefault="008957AA" w:rsidP="00EB7BB1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Normale</w:t>
            </w:r>
          </w:p>
        </w:tc>
        <w:tc>
          <w:tcPr>
            <w:tcW w:w="2268" w:type="dxa"/>
          </w:tcPr>
          <w:p w:rsidR="008957AA" w:rsidRDefault="008957AA" w:rsidP="00EB7BB1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DE511F" w:rsidRDefault="00DE511F" w:rsidP="00EB7BB1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957AA" w:rsidRDefault="008957AA" w:rsidP="00EB7BB1">
      <w:pPr>
        <w:tabs>
          <w:tab w:val="left" w:pos="1632"/>
        </w:tabs>
        <w:rPr>
          <w:rFonts w:ascii="Times New Roman" w:hAnsi="Times New Roman" w:cs="Times New Roman"/>
          <w:b/>
        </w:rPr>
      </w:pPr>
    </w:p>
    <w:p w:rsidR="008957AA" w:rsidRDefault="008957AA" w:rsidP="00EB7BB1">
      <w:pPr>
        <w:tabs>
          <w:tab w:val="left" w:pos="1632"/>
        </w:tabs>
        <w:rPr>
          <w:rFonts w:ascii="Times New Roman" w:hAnsi="Times New Roman" w:cs="Times New Roman"/>
          <w:b/>
        </w:rPr>
      </w:pPr>
    </w:p>
    <w:p w:rsidR="008957AA" w:rsidRDefault="00DE511F" w:rsidP="008957AA">
      <w:pPr>
        <w:tabs>
          <w:tab w:val="left" w:pos="16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Primaria</w:t>
      </w:r>
      <w:r w:rsidR="008957AA" w:rsidRPr="008957AA">
        <w:rPr>
          <w:rFonts w:ascii="Times New Roman" w:hAnsi="Times New Roman" w:cs="Times New Roman"/>
          <w:b/>
        </w:rPr>
        <w:t>– Disponibilità residue dopo i trasferimenti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957AA" w:rsidTr="00055375">
        <w:tc>
          <w:tcPr>
            <w:tcW w:w="2660" w:type="dxa"/>
          </w:tcPr>
          <w:p w:rsidR="008957AA" w:rsidRDefault="008957AA" w:rsidP="00055375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957AA" w:rsidRDefault="008957AA" w:rsidP="00055375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Disponibilità residue dopo i trasferimenti</w:t>
            </w:r>
          </w:p>
          <w:p w:rsidR="008957AA" w:rsidRPr="008957AA" w:rsidRDefault="008957AA" w:rsidP="00055375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</w:p>
        </w:tc>
      </w:tr>
      <w:tr w:rsidR="008957AA" w:rsidTr="00055375">
        <w:tc>
          <w:tcPr>
            <w:tcW w:w="2660" w:type="dxa"/>
          </w:tcPr>
          <w:p w:rsidR="008957AA" w:rsidRDefault="008957AA" w:rsidP="00055375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Sostegno</w:t>
            </w:r>
          </w:p>
        </w:tc>
        <w:tc>
          <w:tcPr>
            <w:tcW w:w="2268" w:type="dxa"/>
          </w:tcPr>
          <w:p w:rsidR="008957AA" w:rsidRDefault="008957AA" w:rsidP="00055375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DE511F" w:rsidRDefault="00DE511F" w:rsidP="00055375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957AA" w:rsidTr="00055375">
        <w:tc>
          <w:tcPr>
            <w:tcW w:w="2660" w:type="dxa"/>
          </w:tcPr>
          <w:p w:rsidR="008957AA" w:rsidRDefault="008957AA" w:rsidP="00055375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Normale</w:t>
            </w:r>
          </w:p>
        </w:tc>
        <w:tc>
          <w:tcPr>
            <w:tcW w:w="2268" w:type="dxa"/>
          </w:tcPr>
          <w:p w:rsidR="008957AA" w:rsidRDefault="008957AA" w:rsidP="00055375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DE511F" w:rsidRDefault="00DE511F" w:rsidP="00055375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8957AA" w:rsidRPr="008957AA" w:rsidRDefault="008957AA" w:rsidP="00EB7BB1">
      <w:pPr>
        <w:tabs>
          <w:tab w:val="left" w:pos="1632"/>
        </w:tabs>
        <w:rPr>
          <w:rFonts w:ascii="Times New Roman" w:hAnsi="Times New Roman" w:cs="Times New Roman"/>
          <w:b/>
        </w:rPr>
      </w:pPr>
    </w:p>
    <w:sectPr w:rsidR="008957AA" w:rsidRPr="008957AA" w:rsidSect="005606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3A"/>
    <w:rsid w:val="0056063A"/>
    <w:rsid w:val="007D763E"/>
    <w:rsid w:val="008957AA"/>
    <w:rsid w:val="00DE511F"/>
    <w:rsid w:val="00EB7BB1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2020-06-29T10:31:00Z</dcterms:created>
  <dcterms:modified xsi:type="dcterms:W3CDTF">2020-06-29T10:46:00Z</dcterms:modified>
</cp:coreProperties>
</file>